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1D" w:rsidRPr="00CA031D" w:rsidRDefault="00CA031D" w:rsidP="00CA031D">
      <w:pPr>
        <w:shd w:val="clear" w:color="auto" w:fill="FFFFFF"/>
        <w:spacing w:before="330" w:after="420" w:line="240" w:lineRule="auto"/>
        <w:outlineLvl w:val="3"/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</w:pPr>
      <w:r w:rsidRPr="00CA031D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>Программы «</w:t>
      </w:r>
      <w:proofErr w:type="spellStart"/>
      <w:r w:rsidRPr="00CA031D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>Весоизмерительная</w:t>
      </w:r>
      <w:proofErr w:type="spellEnd"/>
      <w:r w:rsidRPr="00CA031D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техника в технологических процессах различного производственного назначения»</w:t>
      </w:r>
      <w:bookmarkStart w:id="0" w:name="_GoBack"/>
      <w:bookmarkEnd w:id="0"/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Весовые системы, считывающие устройства. Зарубежные аналоги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Руководящая документация при выборе весов. Критерии выбора весов.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Технология взвешивания (Варианты применения различных типов весов).</w:t>
      </w: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br/>
        <w:t>Методы взвешивания (статика, динамика)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Выбор места установки. Варианты установки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 xml:space="preserve">Метрологическое обеспечение </w:t>
      </w:r>
      <w:proofErr w:type="gramStart"/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промышленного</w:t>
      </w:r>
      <w:proofErr w:type="gramEnd"/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весоизмерения</w:t>
      </w:r>
      <w:proofErr w:type="spellEnd"/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Теоретические основы тензометрии. Первичные преобразователи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Вторичные преобразователи. Периферийные устройства.</w:t>
      </w: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br/>
        <w:t>Программно-технические комплексы весов.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Стандартное оборудование весов. Подключение, проверка, опробование, настройка.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Специальное программное обеспечение: взвешивание в движении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Специальное программное обеспечение: взвешивание в статике.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Экскурсия по заводу: технология изготовления весов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Весы вагонные: особенность конструкции, монтаж датчиков, подключение клеммой коробки, преобразователя, ПТК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Весы вагонные: настройка ПТК, расстановка датчиков, запись сигналов с датчиков, просмотр сигналов с датчиков. Диагностика неисправностей, методы устранения</w:t>
      </w:r>
    </w:p>
    <w:p w:rsidR="00CA031D" w:rsidRPr="00CA031D" w:rsidRDefault="00CA031D" w:rsidP="00CA031D">
      <w:pPr>
        <w:numPr>
          <w:ilvl w:val="0"/>
          <w:numId w:val="1"/>
        </w:numPr>
        <w:shd w:val="clear" w:color="auto" w:fill="FFFFFF"/>
        <w:spacing w:before="100" w:beforeAutospacing="1" w:after="420" w:line="240" w:lineRule="auto"/>
        <w:ind w:left="0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Калибровка весов. Режимы взвешивания. Поверка и сдача весов в эксплуатацию. Гарантия</w:t>
      </w:r>
    </w:p>
    <w:p w:rsidR="00CA031D" w:rsidRPr="00CA031D" w:rsidRDefault="00CA031D" w:rsidP="00CA031D">
      <w:pPr>
        <w:shd w:val="clear" w:color="auto" w:fill="FFFFFF"/>
        <w:spacing w:after="420" w:line="240" w:lineRule="auto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 конце курса проводится зачёт по циклу «</w:t>
      </w:r>
      <w:proofErr w:type="spellStart"/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Весоизмерительная</w:t>
      </w:r>
      <w:proofErr w:type="spellEnd"/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 xml:space="preserve"> техника в технологических процессах различного производственного назначения».</w:t>
      </w:r>
    </w:p>
    <w:p w:rsidR="00795805" w:rsidRPr="00CA031D" w:rsidRDefault="00CA031D" w:rsidP="00CA031D">
      <w:pPr>
        <w:shd w:val="clear" w:color="auto" w:fill="FFFFFF"/>
        <w:spacing w:after="420" w:line="240" w:lineRule="auto"/>
        <w:ind w:left="-426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CA031D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По окончании курсов специалист получает удостоверение, дающее право на ремонт и обслуживание весов.</w:t>
      </w:r>
    </w:p>
    <w:sectPr w:rsidR="00795805" w:rsidRPr="00CA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0D8D"/>
    <w:multiLevelType w:val="multilevel"/>
    <w:tmpl w:val="1CF4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1D"/>
    <w:rsid w:val="00795805"/>
    <w:rsid w:val="00C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03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0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03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0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2016-12-20T07:55:00Z</dcterms:created>
  <dcterms:modified xsi:type="dcterms:W3CDTF">2016-12-20T07:56:00Z</dcterms:modified>
</cp:coreProperties>
</file>